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ABF4B" w14:textId="59A01103" w:rsidR="00CB7419" w:rsidRPr="00D90583" w:rsidRDefault="00DA4708" w:rsidP="00D90583">
      <w:pPr>
        <w:pStyle w:val="BodyTex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B7419" w:rsidRPr="00D90583">
        <w:rPr>
          <w:b/>
          <w:bCs/>
        </w:rPr>
        <w:t xml:space="preserve">DOCKET NO. </w:t>
      </w:r>
      <w:r w:rsidR="002B43E1">
        <w:rPr>
          <w:b/>
          <w:bCs/>
        </w:rPr>
        <w:t>51973</w:t>
      </w:r>
    </w:p>
    <w:p w14:paraId="540EBEEC" w14:textId="5CE0853D" w:rsidR="00D90583" w:rsidRDefault="00D90583" w:rsidP="00D90583">
      <w:pPr>
        <w:pStyle w:val="BodyText"/>
      </w:pPr>
    </w:p>
    <w:p w14:paraId="2C645D3D" w14:textId="77777777" w:rsidR="00AC5850" w:rsidRDefault="00AC5850" w:rsidP="00D90583">
      <w:pPr>
        <w:pStyle w:val="BodyText"/>
      </w:pPr>
    </w:p>
    <w:p w14:paraId="78B4CCD2" w14:textId="77777777" w:rsidR="00AC5850" w:rsidRDefault="00CB7419" w:rsidP="00AC5850">
      <w:pPr>
        <w:pStyle w:val="BodyText"/>
      </w:pPr>
      <w:r>
        <w:t xml:space="preserve">Petition of </w:t>
      </w:r>
      <w:r w:rsidR="00AC5850">
        <w:t>Rodney Earl Mohnke, et al</w:t>
      </w:r>
      <w:r>
        <w:t xml:space="preserve"> to Amend</w:t>
      </w:r>
      <w:r>
        <w:tab/>
        <w:t xml:space="preserve">   </w:t>
      </w:r>
      <w:r w:rsidR="00AC5850">
        <w:t xml:space="preserve">   </w:t>
      </w:r>
      <w:r>
        <w:t xml:space="preserve">*               Before the Public Utility </w:t>
      </w:r>
      <w:r w:rsidR="00AC5850">
        <w:t>Commission</w:t>
      </w:r>
      <w:r w:rsidR="00AC5850">
        <w:tab/>
      </w:r>
    </w:p>
    <w:p w14:paraId="097F0DE6" w14:textId="77777777" w:rsidR="00AC5850" w:rsidRDefault="00AC5850" w:rsidP="00AC5850">
      <w:pPr>
        <w:pStyle w:val="BodyText"/>
      </w:pPr>
    </w:p>
    <w:p w14:paraId="17CD865F" w14:textId="1CF066CA" w:rsidR="00CB7419" w:rsidRDefault="00AC5850" w:rsidP="00AC5850">
      <w:pPr>
        <w:pStyle w:val="BodyText"/>
      </w:pPr>
      <w:r>
        <w:t xml:space="preserve">  Water Certificate of Convenience and</w:t>
      </w:r>
      <w:r>
        <w:tab/>
      </w:r>
      <w:r>
        <w:tab/>
        <w:t xml:space="preserve">      *</w:t>
      </w:r>
      <w:r>
        <w:tab/>
      </w:r>
      <w:r>
        <w:tab/>
        <w:t>of the State of Texas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F839551" w14:textId="1140E14F" w:rsidR="00D90583" w:rsidRDefault="00AC5850" w:rsidP="00AC5850">
      <w:pPr>
        <w:pStyle w:val="BodyText"/>
      </w:pPr>
      <w:r>
        <w:t xml:space="preserve">  Necessity of HMW Special Utility District</w:t>
      </w:r>
      <w:r>
        <w:tab/>
        <w:t xml:space="preserve">      *</w:t>
      </w:r>
    </w:p>
    <w:p w14:paraId="5782FA10" w14:textId="04115616" w:rsidR="00CB7419" w:rsidRDefault="00CB7419" w:rsidP="00AC5850">
      <w:pPr>
        <w:pStyle w:val="BodyText"/>
        <w:spacing w:line="120" w:lineRule="auto"/>
      </w:pPr>
    </w:p>
    <w:p w14:paraId="6917148D" w14:textId="6CB98218" w:rsidR="00AC5850" w:rsidRDefault="00AC5850" w:rsidP="00DA4708">
      <w:pPr>
        <w:pStyle w:val="BodyText"/>
      </w:pPr>
      <w:r>
        <w:t xml:space="preserve">  By Expedited Release</w:t>
      </w:r>
      <w:r>
        <w:tab/>
      </w:r>
      <w:r>
        <w:tab/>
      </w:r>
      <w:r>
        <w:tab/>
      </w:r>
      <w:r>
        <w:tab/>
        <w:t xml:space="preserve">      *</w:t>
      </w:r>
    </w:p>
    <w:p w14:paraId="23C0C30A" w14:textId="77777777" w:rsidR="00DA4708" w:rsidRDefault="00DA4708" w:rsidP="00DA4708">
      <w:pPr>
        <w:pStyle w:val="BodyText"/>
      </w:pPr>
    </w:p>
    <w:p w14:paraId="58419B79" w14:textId="5FA1A676" w:rsidR="00EE1C59" w:rsidRPr="00756564" w:rsidRDefault="00756564" w:rsidP="00EE1C59">
      <w:pPr>
        <w:pStyle w:val="BodyText"/>
        <w:spacing w:line="249" w:lineRule="auto"/>
        <w:ind w:right="455"/>
        <w:jc w:val="both"/>
        <w:rPr>
          <w:b/>
          <w:bCs/>
          <w:color w:val="4D4D4D"/>
          <w:u w:val="single"/>
        </w:rPr>
      </w:pP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</w:r>
      <w:r w:rsidRPr="00756564">
        <w:rPr>
          <w:b/>
          <w:bCs/>
          <w:color w:val="4D4D4D"/>
        </w:rPr>
        <w:t xml:space="preserve">   </w:t>
      </w:r>
      <w:r w:rsidR="00C1572D">
        <w:rPr>
          <w:b/>
          <w:bCs/>
          <w:color w:val="4D4D4D"/>
        </w:rPr>
        <w:t xml:space="preserve">      </w:t>
      </w:r>
      <w:r w:rsidRPr="00756564">
        <w:rPr>
          <w:b/>
          <w:bCs/>
          <w:color w:val="4D4D4D"/>
        </w:rPr>
        <w:t xml:space="preserve"> </w:t>
      </w:r>
      <w:r w:rsidR="00C1572D">
        <w:rPr>
          <w:b/>
          <w:bCs/>
          <w:color w:val="4D4D4D"/>
          <w:u w:val="single"/>
        </w:rPr>
        <w:t xml:space="preserve">Second/Amended </w:t>
      </w:r>
      <w:r w:rsidRPr="00756564">
        <w:rPr>
          <w:b/>
          <w:bCs/>
          <w:color w:val="4D4D4D"/>
          <w:u w:val="single"/>
        </w:rPr>
        <w:t>Motion for Rehearing</w:t>
      </w:r>
    </w:p>
    <w:p w14:paraId="1B7E6AB0" w14:textId="5BCFB4F5" w:rsidR="00756564" w:rsidRDefault="00756564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0D6DD969" w14:textId="14A3EB0E" w:rsidR="00C1572D" w:rsidRDefault="00756564" w:rsidP="00C1572D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ab/>
        <w:t xml:space="preserve">Comes now the HMW Special Utility District(“HMW”), filing its </w:t>
      </w:r>
      <w:r w:rsidR="00C1572D">
        <w:rPr>
          <w:color w:val="4D4D4D"/>
        </w:rPr>
        <w:t xml:space="preserve">Second/Amended </w:t>
      </w:r>
      <w:r>
        <w:rPr>
          <w:color w:val="4D4D4D"/>
        </w:rPr>
        <w:t xml:space="preserve">Motion </w:t>
      </w:r>
    </w:p>
    <w:p w14:paraId="6F7D3AFF" w14:textId="77777777" w:rsidR="00C1572D" w:rsidRDefault="00C1572D" w:rsidP="00C1572D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4A5DFEBC" w14:textId="0DC1D59C" w:rsidR="00756564" w:rsidRDefault="00756564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>for Rehearing</w:t>
      </w:r>
      <w:r w:rsidR="00C1572D">
        <w:rPr>
          <w:color w:val="4D4D4D"/>
        </w:rPr>
        <w:t>(“Motion”)</w:t>
      </w:r>
      <w:r>
        <w:rPr>
          <w:color w:val="4D4D4D"/>
        </w:rPr>
        <w:t>, and states as follows:</w:t>
      </w:r>
    </w:p>
    <w:p w14:paraId="2E529062" w14:textId="3079DBD7" w:rsidR="00756564" w:rsidRDefault="00756564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4DF39195" w14:textId="6B45780B" w:rsidR="00756564" w:rsidRDefault="00756564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</w:r>
      <w:r w:rsidR="008640E7">
        <w:rPr>
          <w:color w:val="4D4D4D"/>
        </w:rPr>
        <w:t>I.</w:t>
      </w:r>
    </w:p>
    <w:p w14:paraId="631B397A" w14:textId="2678E459" w:rsidR="008640E7" w:rsidRDefault="008640E7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303BEDE7" w14:textId="77777777" w:rsidR="00E96713" w:rsidRDefault="008640E7" w:rsidP="00C1572D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ab/>
      </w:r>
      <w:r w:rsidR="00E96713">
        <w:rPr>
          <w:color w:val="4D4D4D"/>
        </w:rPr>
        <w:t>Without conceding the point, t</w:t>
      </w:r>
      <w:r>
        <w:rPr>
          <w:color w:val="4D4D4D"/>
        </w:rPr>
        <w:t>h</w:t>
      </w:r>
      <w:r w:rsidR="00C1572D">
        <w:rPr>
          <w:color w:val="4D4D4D"/>
        </w:rPr>
        <w:t>is Motion</w:t>
      </w:r>
      <w:r>
        <w:rPr>
          <w:color w:val="4D4D4D"/>
        </w:rPr>
        <w:t xml:space="preserve"> </w:t>
      </w:r>
      <w:r w:rsidR="00C1572D">
        <w:rPr>
          <w:color w:val="4D4D4D"/>
        </w:rPr>
        <w:t xml:space="preserve">assumes that the </w:t>
      </w:r>
      <w:r>
        <w:rPr>
          <w:color w:val="4D4D4D"/>
        </w:rPr>
        <w:t>Administrative Law Judge</w:t>
      </w:r>
      <w:r w:rsidR="00C1572D">
        <w:rPr>
          <w:color w:val="4D4D4D"/>
        </w:rPr>
        <w:t xml:space="preserve">’s </w:t>
      </w:r>
    </w:p>
    <w:p w14:paraId="743B3520" w14:textId="77777777" w:rsidR="00E96713" w:rsidRDefault="00E96713" w:rsidP="00C1572D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3751DC92" w14:textId="297B9468" w:rsidR="007D5EAF" w:rsidRDefault="008640E7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 xml:space="preserve">(“ALJ”) </w:t>
      </w:r>
      <w:r w:rsidR="00C1572D">
        <w:rPr>
          <w:color w:val="4D4D4D"/>
        </w:rPr>
        <w:t xml:space="preserve">determination </w:t>
      </w:r>
      <w:r w:rsidR="008B51E1">
        <w:rPr>
          <w:color w:val="4D4D4D"/>
        </w:rPr>
        <w:t xml:space="preserve">of </w:t>
      </w:r>
      <w:r>
        <w:rPr>
          <w:color w:val="4D4D4D"/>
        </w:rPr>
        <w:t>compensation</w:t>
      </w:r>
      <w:r w:rsidR="007D5EAF">
        <w:rPr>
          <w:color w:val="4D4D4D"/>
        </w:rPr>
        <w:t xml:space="preserve"> </w:t>
      </w:r>
      <w:r>
        <w:rPr>
          <w:color w:val="4D4D4D"/>
        </w:rPr>
        <w:t>is a “final order” under</w:t>
      </w:r>
      <w:r w:rsidR="005B6FD7">
        <w:rPr>
          <w:color w:val="4D4D4D"/>
        </w:rPr>
        <w:t xml:space="preserve"> the Rules of the Public Utility </w:t>
      </w:r>
    </w:p>
    <w:p w14:paraId="1FE9251F" w14:textId="77777777" w:rsidR="007D5EAF" w:rsidRDefault="007D5EAF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33FD963C" w14:textId="77777777" w:rsidR="00DB1688" w:rsidRDefault="005B6FD7" w:rsidP="00E96713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>Commission(“PUC”).</w:t>
      </w:r>
      <w:r w:rsidR="003619D4">
        <w:rPr>
          <w:color w:val="4D4D4D"/>
        </w:rPr>
        <w:t xml:space="preserve"> </w:t>
      </w:r>
      <w:r w:rsidR="00C1572D">
        <w:rPr>
          <w:color w:val="4D4D4D"/>
        </w:rPr>
        <w:t>Th</w:t>
      </w:r>
      <w:r w:rsidR="007D5EAF">
        <w:rPr>
          <w:color w:val="4D4D4D"/>
        </w:rPr>
        <w:t>e</w:t>
      </w:r>
      <w:r w:rsidR="00C1572D">
        <w:rPr>
          <w:color w:val="4D4D4D"/>
        </w:rPr>
        <w:t xml:space="preserve"> </w:t>
      </w:r>
      <w:r w:rsidR="007D5EAF">
        <w:rPr>
          <w:color w:val="4D4D4D"/>
        </w:rPr>
        <w:t xml:space="preserve">ALJ’s </w:t>
      </w:r>
      <w:r w:rsidR="00C1572D">
        <w:rPr>
          <w:color w:val="4D4D4D"/>
        </w:rPr>
        <w:t xml:space="preserve">order </w:t>
      </w:r>
      <w:r w:rsidR="007D5EAF">
        <w:rPr>
          <w:color w:val="4D4D4D"/>
        </w:rPr>
        <w:t xml:space="preserve">determining compensation </w:t>
      </w:r>
      <w:r w:rsidR="00C1572D">
        <w:rPr>
          <w:color w:val="4D4D4D"/>
        </w:rPr>
        <w:t xml:space="preserve">is </w:t>
      </w:r>
      <w:r w:rsidR="00C1572D" w:rsidRPr="008B51E1">
        <w:rPr>
          <w:b/>
          <w:bCs/>
          <w:color w:val="4D4D4D"/>
          <w:u w:val="single"/>
        </w:rPr>
        <w:t>not</w:t>
      </w:r>
      <w:r w:rsidR="00C1572D">
        <w:rPr>
          <w:color w:val="4D4D4D"/>
        </w:rPr>
        <w:t xml:space="preserve"> final for reasons set forth by </w:t>
      </w:r>
    </w:p>
    <w:p w14:paraId="2222338C" w14:textId="77777777" w:rsidR="00DB1688" w:rsidRDefault="00DB1688" w:rsidP="00E96713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7537EDAF" w14:textId="77777777" w:rsidR="00DB1688" w:rsidRDefault="00C1572D" w:rsidP="00E96713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>HMW in prior pleadings.</w:t>
      </w:r>
      <w:r w:rsidR="00E96713">
        <w:rPr>
          <w:color w:val="4D4D4D"/>
        </w:rPr>
        <w:t xml:space="preserve"> Nevertheless, the ALJ has not clarified whether </w:t>
      </w:r>
      <w:r w:rsidR="008B51E1">
        <w:rPr>
          <w:color w:val="4D4D4D"/>
        </w:rPr>
        <w:t>its finality</w:t>
      </w:r>
      <w:r w:rsidR="00E96713">
        <w:rPr>
          <w:color w:val="4D4D4D"/>
        </w:rPr>
        <w:t xml:space="preserve"> is the position of </w:t>
      </w:r>
    </w:p>
    <w:p w14:paraId="6C9DBDD5" w14:textId="77777777" w:rsidR="00DB1688" w:rsidRDefault="00DB1688" w:rsidP="00E96713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6BD76F3E" w14:textId="77777777" w:rsidR="00DB1688" w:rsidRDefault="00E96713" w:rsidP="007D5EAF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>the PUC. Therefore, this Motion is filed withi</w:t>
      </w:r>
      <w:r w:rsidR="007D5EAF">
        <w:rPr>
          <w:color w:val="4D4D4D"/>
        </w:rPr>
        <w:t>n</w:t>
      </w:r>
      <w:r>
        <w:rPr>
          <w:color w:val="4D4D4D"/>
        </w:rPr>
        <w:t xml:space="preserve"> the required 25 days to preserve HMW’s rights under </w:t>
      </w:r>
    </w:p>
    <w:p w14:paraId="49CCEC1C" w14:textId="77777777" w:rsidR="00DB1688" w:rsidRDefault="00DB1688" w:rsidP="007D5EAF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06DCFACF" w14:textId="558ACAA2" w:rsidR="008640E7" w:rsidRDefault="00E96713" w:rsidP="00E96713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>PUC rules i</w:t>
      </w:r>
      <w:r w:rsidR="007D5EAF">
        <w:rPr>
          <w:color w:val="4D4D4D"/>
        </w:rPr>
        <w:t>f</w:t>
      </w:r>
      <w:r>
        <w:rPr>
          <w:color w:val="4D4D4D"/>
        </w:rPr>
        <w:t xml:space="preserve"> the </w:t>
      </w:r>
      <w:r w:rsidR="008B51E1">
        <w:rPr>
          <w:color w:val="4D4D4D"/>
        </w:rPr>
        <w:t xml:space="preserve">order </w:t>
      </w:r>
      <w:r>
        <w:rPr>
          <w:color w:val="4D4D4D"/>
        </w:rPr>
        <w:t>determin</w:t>
      </w:r>
      <w:r w:rsidR="008B51E1">
        <w:rPr>
          <w:color w:val="4D4D4D"/>
        </w:rPr>
        <w:t>ing</w:t>
      </w:r>
      <w:r>
        <w:rPr>
          <w:color w:val="4D4D4D"/>
        </w:rPr>
        <w:t xml:space="preserve"> compensation is ever deemed a final order. </w:t>
      </w:r>
    </w:p>
    <w:p w14:paraId="4ED03693" w14:textId="24CA7E1F" w:rsidR="003619D4" w:rsidRDefault="003619D4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07552124" w14:textId="15B48220" w:rsidR="003619D4" w:rsidRDefault="003619D4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  <w:t>II.</w:t>
      </w:r>
    </w:p>
    <w:p w14:paraId="48F0D4F9" w14:textId="5A273C02" w:rsidR="003619D4" w:rsidRDefault="003619D4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2CB59E25" w14:textId="77777777" w:rsidR="00047853" w:rsidRDefault="003619D4" w:rsidP="000C00A6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ab/>
        <w:t xml:space="preserve">HMW </w:t>
      </w:r>
      <w:r w:rsidR="000C00A6">
        <w:rPr>
          <w:color w:val="4D4D4D"/>
        </w:rPr>
        <w:t xml:space="preserve">incorporates by reference </w:t>
      </w:r>
      <w:r w:rsidR="00047853">
        <w:rPr>
          <w:color w:val="4D4D4D"/>
        </w:rPr>
        <w:t xml:space="preserve">and asserts in this Motion </w:t>
      </w:r>
      <w:r w:rsidR="000C00A6">
        <w:rPr>
          <w:color w:val="4D4D4D"/>
        </w:rPr>
        <w:t xml:space="preserve">each of the points set forth in its </w:t>
      </w:r>
    </w:p>
    <w:p w14:paraId="39E74A29" w14:textId="77777777" w:rsidR="00047853" w:rsidRDefault="00047853" w:rsidP="000C00A6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30ED5577" w14:textId="77777777" w:rsidR="00C634EA" w:rsidRDefault="000C00A6" w:rsidP="000C00A6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 xml:space="preserve">pleadings in this case that pertain to </w:t>
      </w:r>
      <w:r w:rsidR="00DA4D3C">
        <w:rPr>
          <w:color w:val="4D4D4D"/>
        </w:rPr>
        <w:t>decertification</w:t>
      </w:r>
      <w:r>
        <w:rPr>
          <w:color w:val="4D4D4D"/>
        </w:rPr>
        <w:t xml:space="preserve">, </w:t>
      </w:r>
      <w:r w:rsidR="00C634EA">
        <w:rPr>
          <w:color w:val="4D4D4D"/>
        </w:rPr>
        <w:t xml:space="preserve">the PUC’s authority and whether this is a contested </w:t>
      </w:r>
    </w:p>
    <w:p w14:paraId="0E3CABC0" w14:textId="77777777" w:rsidR="00C634EA" w:rsidRDefault="00C634EA" w:rsidP="000C00A6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5DDC0E3C" w14:textId="77777777" w:rsidR="00C634EA" w:rsidRDefault="00C634EA" w:rsidP="000C00A6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 xml:space="preserve">case, </w:t>
      </w:r>
      <w:r w:rsidR="000C00A6">
        <w:rPr>
          <w:color w:val="4D4D4D"/>
        </w:rPr>
        <w:t>including but not limited to its Motion for Rehearing dated November 23, 2022.</w:t>
      </w:r>
      <w:r w:rsidR="00DA4D3C">
        <w:rPr>
          <w:color w:val="4D4D4D"/>
        </w:rPr>
        <w:t xml:space="preserve"> Decertification </w:t>
      </w:r>
    </w:p>
    <w:p w14:paraId="4C5D1DE4" w14:textId="77777777" w:rsidR="00C634EA" w:rsidRDefault="00C634EA" w:rsidP="000C00A6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4C15FEF1" w14:textId="77777777" w:rsidR="00C634EA" w:rsidRDefault="00DA4D3C" w:rsidP="000C00A6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 xml:space="preserve">is a prerequisite to the purported determination of compensation. Consequently, the latter </w:t>
      </w:r>
    </w:p>
    <w:p w14:paraId="3A828C36" w14:textId="77777777" w:rsidR="00C634EA" w:rsidRDefault="00C634EA" w:rsidP="000C00A6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2E35F39E" w14:textId="02E2311B" w:rsidR="003619D4" w:rsidRDefault="00DA4D3C" w:rsidP="000C00A6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>determination cannot stand if the decertification is invalid.</w:t>
      </w:r>
      <w:r w:rsidR="000C00A6">
        <w:rPr>
          <w:color w:val="4D4D4D"/>
        </w:rPr>
        <w:t xml:space="preserve"> </w:t>
      </w:r>
    </w:p>
    <w:p w14:paraId="271F76B5" w14:textId="7D19BF03" w:rsidR="00B64060" w:rsidRDefault="00B64060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5FC1DE4F" w14:textId="739FE8BF" w:rsidR="00B64060" w:rsidRDefault="00B64060" w:rsidP="00EE1C59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</w:r>
      <w:r>
        <w:rPr>
          <w:color w:val="4D4D4D"/>
        </w:rPr>
        <w:tab/>
        <w:t>III</w:t>
      </w:r>
      <w:r w:rsidR="00481203">
        <w:rPr>
          <w:color w:val="4D4D4D"/>
        </w:rPr>
        <w:t>.</w:t>
      </w:r>
    </w:p>
    <w:p w14:paraId="7386CC19" w14:textId="1550C34F" w:rsidR="00B64060" w:rsidRDefault="00B64060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56617AA6" w14:textId="3C16AF27" w:rsidR="00B64060" w:rsidRDefault="00B64060" w:rsidP="00047853">
      <w:pPr>
        <w:pStyle w:val="BodyText"/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ab/>
      </w:r>
      <w:r w:rsidR="00047853">
        <w:rPr>
          <w:color w:val="4D4D4D"/>
        </w:rPr>
        <w:t>HMW further asserts the following:</w:t>
      </w:r>
    </w:p>
    <w:p w14:paraId="4D4A4036" w14:textId="348E37AD" w:rsidR="00047853" w:rsidRDefault="00047853" w:rsidP="00047853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4EFABC71" w14:textId="5C0F6073" w:rsidR="00047853" w:rsidRDefault="00047853" w:rsidP="00047853">
      <w:pPr>
        <w:pStyle w:val="BodyText"/>
        <w:numPr>
          <w:ilvl w:val="0"/>
          <w:numId w:val="7"/>
        </w:numPr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>The order determining compensation is not signed by the Commissioners. Hence, the order is not a final order under the PUC’s own rules.</w:t>
      </w:r>
      <w:r w:rsidR="00B24966">
        <w:rPr>
          <w:color w:val="4D4D4D"/>
        </w:rPr>
        <w:t xml:space="preserve"> </w:t>
      </w:r>
      <w:r w:rsidR="00C634EA">
        <w:rPr>
          <w:color w:val="4D4D4D"/>
        </w:rPr>
        <w:t xml:space="preserve">See PUC Rule 22.263. </w:t>
      </w:r>
      <w:r w:rsidR="00B24966">
        <w:rPr>
          <w:color w:val="4D4D4D"/>
        </w:rPr>
        <w:t xml:space="preserve">Moreover, the decertification order itself suggests that the full Commission, not the ALJ, will issue any </w:t>
      </w:r>
      <w:r w:rsidR="00B24966">
        <w:rPr>
          <w:color w:val="4D4D4D"/>
        </w:rPr>
        <w:lastRenderedPageBreak/>
        <w:t>subsequent order on the compensation issue.</w:t>
      </w:r>
      <w:r w:rsidR="00C634EA">
        <w:rPr>
          <w:color w:val="4D4D4D"/>
        </w:rPr>
        <w:t xml:space="preserve"> </w:t>
      </w:r>
      <w:r w:rsidR="003F1965">
        <w:rPr>
          <w:color w:val="4D4D4D"/>
        </w:rPr>
        <w:t xml:space="preserve">Contrary to what the PUC or Respondents may argue, no basis exists for the order on compensation to merely be an authorized extension of the order for decertification. </w:t>
      </w:r>
      <w:r w:rsidR="00C634EA">
        <w:rPr>
          <w:color w:val="4D4D4D"/>
        </w:rPr>
        <w:t>See Order No.34.</w:t>
      </w:r>
    </w:p>
    <w:p w14:paraId="21236A8C" w14:textId="66BB4A68" w:rsidR="00047853" w:rsidRDefault="00047853" w:rsidP="00047853">
      <w:pPr>
        <w:pStyle w:val="BodyText"/>
        <w:spacing w:line="249" w:lineRule="auto"/>
        <w:ind w:left="720" w:right="455"/>
        <w:jc w:val="both"/>
        <w:rPr>
          <w:color w:val="4D4D4D"/>
        </w:rPr>
      </w:pPr>
    </w:p>
    <w:p w14:paraId="38007262" w14:textId="6064DD48" w:rsidR="00B944B0" w:rsidRDefault="00B24966" w:rsidP="00B944B0">
      <w:pPr>
        <w:pStyle w:val="BodyText"/>
        <w:numPr>
          <w:ilvl w:val="0"/>
          <w:numId w:val="7"/>
        </w:numPr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 xml:space="preserve">The determination that </w:t>
      </w:r>
      <w:r w:rsidR="00B944B0">
        <w:rPr>
          <w:color w:val="4D4D4D"/>
        </w:rPr>
        <w:t xml:space="preserve">the disputed </w:t>
      </w:r>
      <w:r>
        <w:rPr>
          <w:color w:val="4D4D4D"/>
        </w:rPr>
        <w:t>99 acres comprising this portion of HMW’s certificate of convenience and necessity(“CCN”)</w:t>
      </w:r>
      <w:r w:rsidR="00B944B0">
        <w:rPr>
          <w:color w:val="4D4D4D"/>
        </w:rPr>
        <w:t xml:space="preserve"> is worth a mere $68.00 is (a) ridiculous on its face, and (b) so outlandish that it cannot be seen as compliant with either </w:t>
      </w:r>
      <w:r w:rsidR="000C11BC">
        <w:rPr>
          <w:color w:val="4D4D4D"/>
        </w:rPr>
        <w:t xml:space="preserve">Water Code </w:t>
      </w:r>
      <w:r w:rsidR="009F05CE">
        <w:rPr>
          <w:color w:val="4D4D4D"/>
        </w:rPr>
        <w:t>Section</w:t>
      </w:r>
      <w:r w:rsidR="000C0AC9">
        <w:rPr>
          <w:color w:val="4D4D4D"/>
        </w:rPr>
        <w:t>s</w:t>
      </w:r>
      <w:r w:rsidR="009F05CE">
        <w:rPr>
          <w:color w:val="4D4D4D"/>
        </w:rPr>
        <w:t xml:space="preserve"> </w:t>
      </w:r>
      <w:r w:rsidR="000C0AC9">
        <w:rPr>
          <w:color w:val="4D4D4D"/>
        </w:rPr>
        <w:t>13.254(g)</w:t>
      </w:r>
      <w:r w:rsidR="00C31083">
        <w:rPr>
          <w:color w:val="4D4D4D"/>
        </w:rPr>
        <w:t xml:space="preserve"> </w:t>
      </w:r>
      <w:r w:rsidR="0047105F">
        <w:rPr>
          <w:color w:val="4D4D4D"/>
        </w:rPr>
        <w:t>or</w:t>
      </w:r>
      <w:r w:rsidR="00C31083">
        <w:rPr>
          <w:color w:val="4D4D4D"/>
        </w:rPr>
        <w:t xml:space="preserve"> </w:t>
      </w:r>
      <w:r w:rsidR="00B944B0">
        <w:rPr>
          <w:color w:val="4D4D4D"/>
        </w:rPr>
        <w:t>13.254</w:t>
      </w:r>
      <w:r w:rsidR="000C0AC9">
        <w:rPr>
          <w:color w:val="4D4D4D"/>
        </w:rPr>
        <w:t>1(f)-(h)</w:t>
      </w:r>
      <w:r w:rsidR="00B944B0">
        <w:rPr>
          <w:color w:val="4D4D4D"/>
        </w:rPr>
        <w:t>.</w:t>
      </w:r>
      <w:r w:rsidR="000C11BC">
        <w:rPr>
          <w:color w:val="4D4D4D"/>
        </w:rPr>
        <w:t xml:space="preserve"> </w:t>
      </w:r>
      <w:r w:rsidR="009F05CE">
        <w:rPr>
          <w:color w:val="4D4D4D"/>
        </w:rPr>
        <w:t>Common sense dictates that i</w:t>
      </w:r>
      <w:r w:rsidR="000C11BC">
        <w:rPr>
          <w:color w:val="4D4D4D"/>
        </w:rPr>
        <w:t xml:space="preserve">t could not be clearer that </w:t>
      </w:r>
      <w:r w:rsidR="000C11BC" w:rsidRPr="000C11BC">
        <w:rPr>
          <w:b/>
          <w:bCs/>
          <w:color w:val="4D4D4D"/>
          <w:u w:val="single"/>
        </w:rPr>
        <w:t>any</w:t>
      </w:r>
      <w:r w:rsidR="000C11BC">
        <w:rPr>
          <w:color w:val="4D4D4D"/>
        </w:rPr>
        <w:t xml:space="preserve"> water provider would realize more than $68.00 following the development of the CCN to provide water service.</w:t>
      </w:r>
      <w:r w:rsidR="002242EF">
        <w:rPr>
          <w:color w:val="4D4D4D"/>
        </w:rPr>
        <w:t xml:space="preserve"> None are stated, but the findings of fact, if any, that purport to support this conclusion are erroneous.</w:t>
      </w:r>
    </w:p>
    <w:p w14:paraId="3AF729B8" w14:textId="77777777" w:rsidR="00FD6053" w:rsidRPr="00FD6053" w:rsidRDefault="00FD6053" w:rsidP="00FD6053">
      <w:pPr>
        <w:pStyle w:val="BodyText"/>
        <w:spacing w:line="249" w:lineRule="auto"/>
        <w:ind w:left="720" w:right="455"/>
        <w:jc w:val="both"/>
        <w:rPr>
          <w:color w:val="4D4D4D"/>
        </w:rPr>
      </w:pPr>
    </w:p>
    <w:p w14:paraId="4942C020" w14:textId="033B4888" w:rsidR="009F05CE" w:rsidRDefault="00B944B0" w:rsidP="009F05CE">
      <w:pPr>
        <w:pStyle w:val="BodyText"/>
        <w:numPr>
          <w:ilvl w:val="0"/>
          <w:numId w:val="7"/>
        </w:numPr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>The ALJ treated the enumerated categories in Water Code Section 13.254</w:t>
      </w:r>
      <w:r w:rsidR="002242EF">
        <w:rPr>
          <w:color w:val="4D4D4D"/>
        </w:rPr>
        <w:t>(</w:t>
      </w:r>
      <w:r w:rsidR="000C0AC9">
        <w:rPr>
          <w:color w:val="4D4D4D"/>
        </w:rPr>
        <w:t>g</w:t>
      </w:r>
      <w:r w:rsidR="002242EF">
        <w:rPr>
          <w:color w:val="4D4D4D"/>
        </w:rPr>
        <w:t>)</w:t>
      </w:r>
      <w:r>
        <w:rPr>
          <w:color w:val="4D4D4D"/>
        </w:rPr>
        <w:t xml:space="preserve"> as the </w:t>
      </w:r>
      <w:r w:rsidRPr="00C31083">
        <w:rPr>
          <w:b/>
          <w:bCs/>
          <w:color w:val="4D4D4D"/>
          <w:u w:val="single"/>
        </w:rPr>
        <w:t>sole</w:t>
      </w:r>
      <w:r>
        <w:rPr>
          <w:color w:val="4D4D4D"/>
        </w:rPr>
        <w:t xml:space="preserve"> categories worthy of consideration</w:t>
      </w:r>
      <w:r w:rsidR="000C11BC">
        <w:rPr>
          <w:color w:val="4D4D4D"/>
        </w:rPr>
        <w:t xml:space="preserve"> in determining </w:t>
      </w:r>
      <w:r w:rsidR="009F05CE">
        <w:rPr>
          <w:color w:val="4D4D4D"/>
        </w:rPr>
        <w:t>compensation</w:t>
      </w:r>
      <w:r>
        <w:rPr>
          <w:color w:val="4D4D4D"/>
        </w:rPr>
        <w:t xml:space="preserve">. </w:t>
      </w:r>
      <w:r w:rsidR="00FD6053">
        <w:rPr>
          <w:color w:val="4D4D4D"/>
        </w:rPr>
        <w:t xml:space="preserve">The ALJ obviously failed to consider, or even mention, the category pertaining to “other relevant factors” for determining compensation. This approach was and is an abuse of discretion under applicable </w:t>
      </w:r>
      <w:r w:rsidR="002242EF">
        <w:rPr>
          <w:color w:val="4D4D4D"/>
        </w:rPr>
        <w:t xml:space="preserve">Texas </w:t>
      </w:r>
      <w:r w:rsidR="00FD6053">
        <w:rPr>
          <w:color w:val="4D4D4D"/>
        </w:rPr>
        <w:t>law that pertain to the exercise of discretion</w:t>
      </w:r>
      <w:r w:rsidR="002242EF">
        <w:rPr>
          <w:color w:val="4D4D4D"/>
        </w:rPr>
        <w:t xml:space="preserve"> and the refusal to exercise it when required</w:t>
      </w:r>
      <w:r w:rsidR="00E9145A">
        <w:rPr>
          <w:color w:val="4D4D4D"/>
        </w:rPr>
        <w:t>, including Government Code 2001.174 and applicable case law.</w:t>
      </w:r>
    </w:p>
    <w:p w14:paraId="360C5800" w14:textId="77777777" w:rsidR="00E92ADC" w:rsidRPr="00E92ADC" w:rsidRDefault="00E92ADC" w:rsidP="00E92ADC">
      <w:pPr>
        <w:pStyle w:val="BodyText"/>
        <w:spacing w:line="249" w:lineRule="auto"/>
        <w:ind w:left="720" w:right="455"/>
        <w:jc w:val="both"/>
        <w:rPr>
          <w:color w:val="4D4D4D"/>
        </w:rPr>
      </w:pPr>
    </w:p>
    <w:p w14:paraId="620086DD" w14:textId="559EDBB9" w:rsidR="009F05CE" w:rsidRDefault="00E92ADC" w:rsidP="00047853">
      <w:pPr>
        <w:pStyle w:val="BodyText"/>
        <w:numPr>
          <w:ilvl w:val="0"/>
          <w:numId w:val="7"/>
        </w:numPr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 xml:space="preserve">Neither can the order pass muster under the </w:t>
      </w:r>
      <w:r w:rsidR="007201A0">
        <w:rPr>
          <w:color w:val="4D4D4D"/>
        </w:rPr>
        <w:t>applicable standards of review of PUC orders</w:t>
      </w:r>
      <w:r>
        <w:rPr>
          <w:color w:val="4D4D4D"/>
        </w:rPr>
        <w:t xml:space="preserve">. </w:t>
      </w:r>
      <w:r w:rsidR="00E9145A" w:rsidRPr="00E9145A">
        <w:rPr>
          <w:i/>
          <w:iCs/>
          <w:color w:val="4D4D4D"/>
          <w:u w:val="single"/>
        </w:rPr>
        <w:t>Id</w:t>
      </w:r>
      <w:r w:rsidR="00E9145A">
        <w:rPr>
          <w:color w:val="4D4D4D"/>
        </w:rPr>
        <w:t>., at Paragraphs 2001.174(1) and (2)(A</w:t>
      </w:r>
      <w:r w:rsidR="008E3AE2">
        <w:rPr>
          <w:color w:val="4D4D4D"/>
        </w:rPr>
        <w:t>)</w:t>
      </w:r>
      <w:r w:rsidR="00E9145A">
        <w:rPr>
          <w:color w:val="4D4D4D"/>
        </w:rPr>
        <w:t xml:space="preserve">-(F). </w:t>
      </w:r>
      <w:r w:rsidR="002242EF">
        <w:rPr>
          <w:color w:val="4D4D4D"/>
        </w:rPr>
        <w:t>The findings of fact, if any, that purport to support this conclusion are erroneous.</w:t>
      </w:r>
    </w:p>
    <w:p w14:paraId="181243BF" w14:textId="7DA56CDD" w:rsidR="00E92ADC" w:rsidRDefault="00E92ADC" w:rsidP="00E92ADC">
      <w:pPr>
        <w:pStyle w:val="BodyText"/>
        <w:spacing w:line="249" w:lineRule="auto"/>
        <w:ind w:left="720" w:right="455"/>
        <w:jc w:val="both"/>
        <w:rPr>
          <w:color w:val="4D4D4D"/>
        </w:rPr>
      </w:pPr>
    </w:p>
    <w:p w14:paraId="414A6669" w14:textId="3EDF14FC" w:rsidR="008E3AE2" w:rsidRDefault="009C4C5C" w:rsidP="008E3AE2">
      <w:pPr>
        <w:pStyle w:val="BodyText"/>
        <w:numPr>
          <w:ilvl w:val="0"/>
          <w:numId w:val="7"/>
        </w:numPr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 xml:space="preserve">The order also fails to carry out the intent of its enabling statute, which is to provide </w:t>
      </w:r>
      <w:r w:rsidR="00E9145A">
        <w:rPr>
          <w:color w:val="4D4D4D"/>
        </w:rPr>
        <w:t>just and adequate</w:t>
      </w:r>
      <w:r>
        <w:rPr>
          <w:color w:val="4D4D4D"/>
        </w:rPr>
        <w:t xml:space="preserve"> compensation to the holder of a decertified CCN. Water Code Section 13.2541</w:t>
      </w:r>
      <w:r w:rsidR="003C48FA">
        <w:rPr>
          <w:color w:val="4D4D4D"/>
        </w:rPr>
        <w:t>(f)-(h)</w:t>
      </w:r>
      <w:r>
        <w:rPr>
          <w:color w:val="4D4D4D"/>
        </w:rPr>
        <w:t xml:space="preserve">. To be </w:t>
      </w:r>
      <w:r w:rsidR="008E3AE2">
        <w:rPr>
          <w:color w:val="4D4D4D"/>
        </w:rPr>
        <w:t>just and adequate</w:t>
      </w:r>
      <w:r>
        <w:rPr>
          <w:color w:val="4D4D4D"/>
        </w:rPr>
        <w:t xml:space="preserve">, compensation must first be realistic. If it is not, any notion of fairness </w:t>
      </w:r>
      <w:r w:rsidR="002C1A25">
        <w:rPr>
          <w:color w:val="4D4D4D"/>
        </w:rPr>
        <w:t xml:space="preserve">or just and adequate compensation </w:t>
      </w:r>
      <w:r>
        <w:rPr>
          <w:color w:val="4D4D4D"/>
        </w:rPr>
        <w:t>is simply unattainable.</w:t>
      </w:r>
    </w:p>
    <w:p w14:paraId="619DB383" w14:textId="77777777" w:rsidR="007201A0" w:rsidRPr="007201A0" w:rsidRDefault="007201A0" w:rsidP="007201A0">
      <w:pPr>
        <w:pStyle w:val="BodyText"/>
        <w:spacing w:line="249" w:lineRule="auto"/>
        <w:ind w:left="720" w:right="455"/>
        <w:jc w:val="both"/>
        <w:rPr>
          <w:color w:val="4D4D4D"/>
        </w:rPr>
      </w:pPr>
    </w:p>
    <w:p w14:paraId="1B13DC9F" w14:textId="4155173B" w:rsidR="005543FA" w:rsidRDefault="008E3AE2" w:rsidP="005543FA">
      <w:pPr>
        <w:pStyle w:val="BodyText"/>
        <w:numPr>
          <w:ilvl w:val="0"/>
          <w:numId w:val="7"/>
        </w:numPr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 xml:space="preserve">Compensation is required to be determined in accordance with Chapter 21, Texas Property Code. Chapter 21 prescribes, in effect, a fair market value standard for just and adequate compensation under Water Code Section 13.254(g). </w:t>
      </w:r>
      <w:r w:rsidR="005543FA">
        <w:rPr>
          <w:color w:val="4D4D4D"/>
        </w:rPr>
        <w:t xml:space="preserve">Property Code Section 21.042. </w:t>
      </w:r>
      <w:r>
        <w:rPr>
          <w:color w:val="4D4D4D"/>
        </w:rPr>
        <w:t xml:space="preserve">The ALJ’s order on compensation clearly fails to meet this standard, </w:t>
      </w:r>
      <w:r w:rsidR="005543FA">
        <w:rPr>
          <w:color w:val="4D4D4D"/>
        </w:rPr>
        <w:t>and particularly so considering the ALJ’s further failure to give the slightest consideration to the “other relevant factors” standard in Section 13.254(g).</w:t>
      </w:r>
    </w:p>
    <w:p w14:paraId="7869091F" w14:textId="77777777" w:rsidR="007201A0" w:rsidRPr="007201A0" w:rsidRDefault="007201A0" w:rsidP="007201A0">
      <w:pPr>
        <w:pStyle w:val="BodyText"/>
        <w:spacing w:line="249" w:lineRule="auto"/>
        <w:ind w:left="720" w:right="455"/>
        <w:jc w:val="both"/>
        <w:rPr>
          <w:color w:val="4D4D4D"/>
        </w:rPr>
      </w:pPr>
    </w:p>
    <w:p w14:paraId="0B461803" w14:textId="0598BEA4" w:rsidR="005543FA" w:rsidRDefault="005543FA" w:rsidP="009C4C5C">
      <w:pPr>
        <w:pStyle w:val="BodyText"/>
        <w:numPr>
          <w:ilvl w:val="0"/>
          <w:numId w:val="7"/>
        </w:numPr>
        <w:spacing w:line="249" w:lineRule="auto"/>
        <w:ind w:right="455"/>
        <w:jc w:val="both"/>
        <w:rPr>
          <w:color w:val="4D4D4D"/>
        </w:rPr>
      </w:pPr>
      <w:r>
        <w:rPr>
          <w:color w:val="4D4D4D"/>
        </w:rPr>
        <w:t xml:space="preserve">The order on compensation also violates the legal and evidentiary standards set forth in what is commonly termed the substantial evidence rule. </w:t>
      </w:r>
      <w:r w:rsidR="0063430B">
        <w:rPr>
          <w:color w:val="4D4D4D"/>
        </w:rPr>
        <w:t xml:space="preserve">Government Code 2001.174(1) and (2)(A)-(F). The </w:t>
      </w:r>
      <w:r w:rsidR="007201A0">
        <w:rPr>
          <w:color w:val="4D4D4D"/>
        </w:rPr>
        <w:t>legal errors</w:t>
      </w:r>
      <w:r w:rsidR="0063430B">
        <w:rPr>
          <w:color w:val="4D4D4D"/>
        </w:rPr>
        <w:t xml:space="preserve"> regarding discretion and the application of applicable law are set forth above. In addition, </w:t>
      </w:r>
      <w:r w:rsidR="003C48FA">
        <w:rPr>
          <w:color w:val="4D4D4D"/>
        </w:rPr>
        <w:t>and regardless of its financial assumptions, the appraisal presented by HMW is overwhelming evidence that a finding of $68.00 is simply nonsensical and cannot be sustained under even the minimal evidentiary standards of the substantial evidence rule. Further,</w:t>
      </w:r>
      <w:r w:rsidR="0063430B">
        <w:rPr>
          <w:color w:val="4D4D4D"/>
        </w:rPr>
        <w:t xml:space="preserve"> the evidence, if any, on which the ALJ may have relied in support of the conclusion of $68.00 as just an</w:t>
      </w:r>
      <w:r w:rsidR="003C48FA">
        <w:rPr>
          <w:color w:val="4D4D4D"/>
        </w:rPr>
        <w:t>d</w:t>
      </w:r>
      <w:r w:rsidR="0063430B">
        <w:rPr>
          <w:color w:val="4D4D4D"/>
        </w:rPr>
        <w:t xml:space="preserve"> adequate compensation, does not amount to a scintilla of evidence, even under the minimal standards of the substantial evidence rule.</w:t>
      </w:r>
      <w:r w:rsidR="00C31083">
        <w:rPr>
          <w:color w:val="4D4D4D"/>
        </w:rPr>
        <w:t xml:space="preserve"> Any findings of fact that purport to support the ALJ’s conclusion on just and adequate compensation are (1) erroneous and</w:t>
      </w:r>
      <w:r w:rsidR="0047105F">
        <w:rPr>
          <w:color w:val="4D4D4D"/>
        </w:rPr>
        <w:t xml:space="preserve"> </w:t>
      </w:r>
      <w:r w:rsidR="00C31083">
        <w:rPr>
          <w:color w:val="4D4D4D"/>
        </w:rPr>
        <w:t>(2) fail as substantial evidence under Government Code 2001.174.</w:t>
      </w:r>
    </w:p>
    <w:p w14:paraId="53290CFA" w14:textId="68E3BD4B" w:rsidR="00604647" w:rsidRDefault="00604647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03E1C45C" w14:textId="7EBA2C90" w:rsidR="00604647" w:rsidRDefault="00604647" w:rsidP="00C31083">
      <w:pPr>
        <w:pStyle w:val="BodyText"/>
        <w:spacing w:line="360" w:lineRule="auto"/>
        <w:ind w:right="461"/>
        <w:jc w:val="both"/>
        <w:rPr>
          <w:color w:val="4D4D4D"/>
        </w:rPr>
      </w:pPr>
      <w:r>
        <w:rPr>
          <w:color w:val="4D4D4D"/>
        </w:rPr>
        <w:tab/>
        <w:t xml:space="preserve">Wherefore, premises considered, HMW prays </w:t>
      </w:r>
      <w:r w:rsidR="009C4C5C">
        <w:rPr>
          <w:color w:val="4D4D4D"/>
        </w:rPr>
        <w:t xml:space="preserve">that its Motion </w:t>
      </w:r>
      <w:r w:rsidR="00B141C7">
        <w:rPr>
          <w:color w:val="4D4D4D"/>
        </w:rPr>
        <w:t xml:space="preserve">for Rehearing </w:t>
      </w:r>
      <w:r w:rsidR="009C4C5C">
        <w:rPr>
          <w:color w:val="4D4D4D"/>
        </w:rPr>
        <w:t>be granted</w:t>
      </w:r>
      <w:r w:rsidR="008B51E1">
        <w:rPr>
          <w:color w:val="4D4D4D"/>
        </w:rPr>
        <w:t xml:space="preserve">, </w:t>
      </w:r>
      <w:r w:rsidR="00B141C7">
        <w:rPr>
          <w:color w:val="4D4D4D"/>
        </w:rPr>
        <w:t xml:space="preserve">that </w:t>
      </w:r>
      <w:r w:rsidR="00B141C7">
        <w:rPr>
          <w:color w:val="4D4D4D"/>
        </w:rPr>
        <w:lastRenderedPageBreak/>
        <w:t>the PUC rule in favor of HMW on the decertification and/or compensation issues, or alternatively remand this case to the ALJ with appropriate instructions for the further conduct of this proceeding</w:t>
      </w:r>
      <w:r w:rsidR="00C31083">
        <w:rPr>
          <w:color w:val="4D4D4D"/>
        </w:rPr>
        <w:t xml:space="preserve">, </w:t>
      </w:r>
      <w:r w:rsidR="008B51E1">
        <w:rPr>
          <w:color w:val="4D4D4D"/>
        </w:rPr>
        <w:t xml:space="preserve">and </w:t>
      </w:r>
      <w:r w:rsidR="0047105F">
        <w:rPr>
          <w:color w:val="4D4D4D"/>
        </w:rPr>
        <w:t>to grant</w:t>
      </w:r>
      <w:r w:rsidR="008B51E1">
        <w:rPr>
          <w:color w:val="4D4D4D"/>
        </w:rPr>
        <w:t xml:space="preserve"> such other relief as is just.</w:t>
      </w:r>
    </w:p>
    <w:p w14:paraId="1ACE4062" w14:textId="77777777" w:rsidR="00756564" w:rsidRPr="00EC52B6" w:rsidRDefault="00756564" w:rsidP="00EE1C59">
      <w:pPr>
        <w:pStyle w:val="BodyText"/>
        <w:spacing w:line="249" w:lineRule="auto"/>
        <w:ind w:right="455"/>
        <w:jc w:val="both"/>
        <w:rPr>
          <w:color w:val="4D4D4D"/>
        </w:rPr>
      </w:pPr>
    </w:p>
    <w:p w14:paraId="16C6FBF0" w14:textId="7827722B" w:rsidR="00DA2A12" w:rsidRDefault="00ED256C" w:rsidP="004F0EB5">
      <w:pPr>
        <w:pStyle w:val="BodyText"/>
        <w:ind w:left="4320" w:firstLine="720"/>
      </w:pPr>
      <w:r>
        <w:t>Respectfully submitted,</w:t>
      </w:r>
    </w:p>
    <w:p w14:paraId="2A12B766" w14:textId="77777777" w:rsidR="004F0EB5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75B8F27" w14:textId="54DC7F76" w:rsidR="00ED256C" w:rsidRDefault="00ED256C" w:rsidP="004F0EB5">
      <w:pPr>
        <w:pStyle w:val="BodyText"/>
        <w:ind w:left="4320" w:firstLine="720"/>
      </w:pPr>
      <w:r>
        <w:t>Law Offices of Patrick F. Timmons, Jr., P.C.</w:t>
      </w:r>
    </w:p>
    <w:p w14:paraId="503715AD" w14:textId="4D1D1EDB" w:rsidR="00ED256C" w:rsidRDefault="00ED256C" w:rsidP="004F0EB5">
      <w:pPr>
        <w:pStyle w:val="BodyText"/>
      </w:pPr>
    </w:p>
    <w:p w14:paraId="3B821DB4" w14:textId="364D69E7" w:rsidR="002B43E1" w:rsidRDefault="00A90361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/s/</w:t>
      </w:r>
    </w:p>
    <w:p w14:paraId="0EF30976" w14:textId="54E826EA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14:paraId="5312CBD6" w14:textId="076632E7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Patrick F. Timmons, Jr.</w:t>
      </w:r>
    </w:p>
    <w:p w14:paraId="76BB82CF" w14:textId="560FE1A1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1503 Buckmann Ct</w:t>
      </w:r>
    </w:p>
    <w:p w14:paraId="3A4FB2AF" w14:textId="2879B685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Houston, Texas 77043</w:t>
      </w:r>
    </w:p>
    <w:p w14:paraId="605BC569" w14:textId="070FB969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F4963">
        <w:t xml:space="preserve">             </w:t>
      </w:r>
      <w:r>
        <w:t>o.</w:t>
      </w:r>
      <w:r w:rsidR="00AF4963">
        <w:t xml:space="preserve"> </w:t>
      </w:r>
      <w:r>
        <w:t>(713) 465 7638</w:t>
      </w:r>
    </w:p>
    <w:p w14:paraId="770A2FB8" w14:textId="05040239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f. (713) 465 9527</w:t>
      </w:r>
    </w:p>
    <w:p w14:paraId="7F64B2F2" w14:textId="286CEAB3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hyperlink r:id="rId5" w:history="1">
        <w:r w:rsidRPr="00DD220A">
          <w:rPr>
            <w:rStyle w:val="Hyperlink"/>
          </w:rPr>
          <w:t>pft@timmonslawfirm.com</w:t>
        </w:r>
      </w:hyperlink>
    </w:p>
    <w:p w14:paraId="7B6C5D3E" w14:textId="66BF027F" w:rsidR="007161F0" w:rsidRDefault="00ED256C" w:rsidP="000562DD">
      <w:r>
        <w:tab/>
      </w:r>
    </w:p>
    <w:p w14:paraId="2744E4AF" w14:textId="4B80F2BB" w:rsidR="00ED256C" w:rsidRPr="004F0EB5" w:rsidRDefault="00ED256C" w:rsidP="004F0EB5">
      <w:pPr>
        <w:pStyle w:val="BodyText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 w:rsidRPr="004F0EB5">
        <w:rPr>
          <w:u w:val="single"/>
        </w:rPr>
        <w:t>Certificate of Service</w:t>
      </w:r>
    </w:p>
    <w:p w14:paraId="2CECC14F" w14:textId="77777777" w:rsidR="004F0EB5" w:rsidRDefault="004F0EB5" w:rsidP="004F0EB5">
      <w:pPr>
        <w:pStyle w:val="BodyText"/>
      </w:pPr>
    </w:p>
    <w:p w14:paraId="3C0CA34B" w14:textId="35C3DAE7" w:rsidR="00ED256C" w:rsidRDefault="00ED256C" w:rsidP="004F0EB5">
      <w:pPr>
        <w:pStyle w:val="BodyText"/>
      </w:pPr>
      <w:r w:rsidRPr="00ED256C">
        <w:tab/>
        <w:t>I hereby</w:t>
      </w:r>
      <w:r>
        <w:t xml:space="preserve"> certify that a true copy of the foregoing </w:t>
      </w:r>
      <w:r w:rsidR="005D191A">
        <w:t>Motion to Extend Date for Motion for Rehearing</w:t>
      </w:r>
      <w:r>
        <w:t xml:space="preserve"> was served on the </w:t>
      </w:r>
      <w:r w:rsidR="004F0EB5">
        <w:t xml:space="preserve">addressees shown above </w:t>
      </w:r>
      <w:r>
        <w:t xml:space="preserve">and the </w:t>
      </w:r>
      <w:r w:rsidR="004F0EB5">
        <w:t xml:space="preserve">Texas </w:t>
      </w:r>
      <w:r>
        <w:t xml:space="preserve">PUC staff on this </w:t>
      </w:r>
      <w:r w:rsidR="0047105F">
        <w:t>15</w:t>
      </w:r>
      <w:r w:rsidR="004F0EB5">
        <w:t>th</w:t>
      </w:r>
      <w:r>
        <w:t xml:space="preserve"> day of </w:t>
      </w:r>
      <w:r w:rsidR="0047105F">
        <w:t>April</w:t>
      </w:r>
      <w:r w:rsidR="00DA4708">
        <w:t>,</w:t>
      </w:r>
      <w:r>
        <w:t xml:space="preserve"> 20</w:t>
      </w:r>
      <w:r w:rsidR="00DA4708">
        <w:t>2</w:t>
      </w:r>
      <w:r w:rsidR="009602F9">
        <w:t>2</w:t>
      </w:r>
      <w:r>
        <w:t xml:space="preserve">, </w:t>
      </w:r>
      <w:r w:rsidR="00DA2A12">
        <w:t>as provided b</w:t>
      </w:r>
      <w:r w:rsidR="00DA5BFF">
        <w:t xml:space="preserve">y </w:t>
      </w:r>
      <w:r w:rsidR="00F62127">
        <w:t>16</w:t>
      </w:r>
      <w:r w:rsidR="00DA2A12">
        <w:t xml:space="preserve"> TAC Section 22.74.</w:t>
      </w:r>
    </w:p>
    <w:p w14:paraId="04B44EBB" w14:textId="18FAE33D" w:rsidR="00DA2A12" w:rsidRDefault="00DA2A12" w:rsidP="004F0EB5">
      <w:pPr>
        <w:pStyle w:val="BodyText"/>
      </w:pPr>
    </w:p>
    <w:p w14:paraId="6BEC5933" w14:textId="7F3F8D9E" w:rsidR="004F0EB5" w:rsidRDefault="00A90361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/s/</w:t>
      </w:r>
    </w:p>
    <w:p w14:paraId="08A6F087" w14:textId="3A2B61E3" w:rsidR="00ED256C" w:rsidRDefault="00DA2A12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</w:t>
      </w:r>
    </w:p>
    <w:p w14:paraId="1ECA7357" w14:textId="34BE6381" w:rsidR="00ED256C" w:rsidRDefault="00ED256C" w:rsidP="004F0EB5">
      <w:pPr>
        <w:pStyle w:val="BodyTex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F0EB5">
        <w:tab/>
        <w:t>Patrick F. Timmons, Jr.</w:t>
      </w:r>
    </w:p>
    <w:p w14:paraId="3F9816C5" w14:textId="1A918789" w:rsidR="000562DD" w:rsidRDefault="00ED256C" w:rsidP="000562DD">
      <w:r>
        <w:t xml:space="preserve">                      </w:t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  <w:r w:rsidR="000562DD">
        <w:tab/>
      </w:r>
    </w:p>
    <w:p w14:paraId="76963CF0" w14:textId="6E744CB9" w:rsidR="000562DD" w:rsidRPr="00CB7419" w:rsidRDefault="000562DD" w:rsidP="000562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0562DD" w:rsidRPr="00CB74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27E0B"/>
    <w:multiLevelType w:val="hybridMultilevel"/>
    <w:tmpl w:val="98B8579A"/>
    <w:lvl w:ilvl="0" w:tplc="BF5E32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7F309B"/>
    <w:multiLevelType w:val="hybridMultilevel"/>
    <w:tmpl w:val="DF704A5A"/>
    <w:lvl w:ilvl="0" w:tplc="DAC699DA">
      <w:start w:val="1"/>
      <w:numFmt w:val="decimal"/>
      <w:lvlText w:val="%1."/>
      <w:lvlJc w:val="left"/>
      <w:pPr>
        <w:ind w:left="1736" w:hanging="323"/>
      </w:pPr>
      <w:rPr>
        <w:w w:val="108"/>
      </w:rPr>
    </w:lvl>
    <w:lvl w:ilvl="1" w:tplc="CBA2883C">
      <w:numFmt w:val="bullet"/>
      <w:lvlText w:val="•"/>
      <w:lvlJc w:val="left"/>
      <w:pPr>
        <w:ind w:left="2594" w:hanging="323"/>
      </w:pPr>
    </w:lvl>
    <w:lvl w:ilvl="2" w:tplc="DD1ABCFA">
      <w:numFmt w:val="bullet"/>
      <w:lvlText w:val="•"/>
      <w:lvlJc w:val="left"/>
      <w:pPr>
        <w:ind w:left="3448" w:hanging="323"/>
      </w:pPr>
    </w:lvl>
    <w:lvl w:ilvl="3" w:tplc="564272B6">
      <w:numFmt w:val="bullet"/>
      <w:lvlText w:val="•"/>
      <w:lvlJc w:val="left"/>
      <w:pPr>
        <w:ind w:left="4302" w:hanging="323"/>
      </w:pPr>
    </w:lvl>
    <w:lvl w:ilvl="4" w:tplc="36969C38">
      <w:numFmt w:val="bullet"/>
      <w:lvlText w:val="•"/>
      <w:lvlJc w:val="left"/>
      <w:pPr>
        <w:ind w:left="5156" w:hanging="323"/>
      </w:pPr>
    </w:lvl>
    <w:lvl w:ilvl="5" w:tplc="84088C06">
      <w:numFmt w:val="bullet"/>
      <w:lvlText w:val="•"/>
      <w:lvlJc w:val="left"/>
      <w:pPr>
        <w:ind w:left="6010" w:hanging="323"/>
      </w:pPr>
    </w:lvl>
    <w:lvl w:ilvl="6" w:tplc="6DF8236E">
      <w:numFmt w:val="bullet"/>
      <w:lvlText w:val="•"/>
      <w:lvlJc w:val="left"/>
      <w:pPr>
        <w:ind w:left="6864" w:hanging="323"/>
      </w:pPr>
    </w:lvl>
    <w:lvl w:ilvl="7" w:tplc="B740BB4A">
      <w:numFmt w:val="bullet"/>
      <w:lvlText w:val="•"/>
      <w:lvlJc w:val="left"/>
      <w:pPr>
        <w:ind w:left="7718" w:hanging="323"/>
      </w:pPr>
    </w:lvl>
    <w:lvl w:ilvl="8" w:tplc="76C25280">
      <w:numFmt w:val="bullet"/>
      <w:lvlText w:val="•"/>
      <w:lvlJc w:val="left"/>
      <w:pPr>
        <w:ind w:left="8572" w:hanging="323"/>
      </w:pPr>
    </w:lvl>
  </w:abstractNum>
  <w:abstractNum w:abstractNumId="2" w15:restartNumberingAfterBreak="0">
    <w:nsid w:val="31CF0FC6"/>
    <w:multiLevelType w:val="hybridMultilevel"/>
    <w:tmpl w:val="B38EBB7C"/>
    <w:lvl w:ilvl="0" w:tplc="94F87096">
      <w:start w:val="1"/>
      <w:numFmt w:val="upperRoman"/>
      <w:lvlText w:val="%1."/>
      <w:lvlJc w:val="left"/>
      <w:pPr>
        <w:ind w:left="50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3" w15:restartNumberingAfterBreak="0">
    <w:nsid w:val="40E26D81"/>
    <w:multiLevelType w:val="hybridMultilevel"/>
    <w:tmpl w:val="8806F98E"/>
    <w:lvl w:ilvl="0" w:tplc="FB06AD5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F41491A"/>
    <w:multiLevelType w:val="hybridMultilevel"/>
    <w:tmpl w:val="3228700C"/>
    <w:lvl w:ilvl="0" w:tplc="0F4C5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A3383D"/>
    <w:multiLevelType w:val="hybridMultilevel"/>
    <w:tmpl w:val="9F7A91AC"/>
    <w:lvl w:ilvl="0" w:tplc="72EC5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EB0B55"/>
    <w:multiLevelType w:val="hybridMultilevel"/>
    <w:tmpl w:val="6A0CD440"/>
    <w:lvl w:ilvl="0" w:tplc="4D262FD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83497912">
    <w:abstractNumId w:val="2"/>
  </w:num>
  <w:num w:numId="2" w16cid:durableId="1688750205">
    <w:abstractNumId w:val="0"/>
  </w:num>
  <w:num w:numId="3" w16cid:durableId="1721981408">
    <w:abstractNumId w:val="3"/>
  </w:num>
  <w:num w:numId="4" w16cid:durableId="623997763">
    <w:abstractNumId w:val="6"/>
  </w:num>
  <w:num w:numId="5" w16cid:durableId="1790662157">
    <w:abstractNumId w:val="4"/>
  </w:num>
  <w:num w:numId="6" w16cid:durableId="179405639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655181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419"/>
    <w:rsid w:val="00047853"/>
    <w:rsid w:val="000562DD"/>
    <w:rsid w:val="000C00A6"/>
    <w:rsid w:val="000C0AC9"/>
    <w:rsid w:val="000C11BC"/>
    <w:rsid w:val="00144192"/>
    <w:rsid w:val="002242EF"/>
    <w:rsid w:val="002B43E1"/>
    <w:rsid w:val="002C1A25"/>
    <w:rsid w:val="003619D4"/>
    <w:rsid w:val="003C48FA"/>
    <w:rsid w:val="003C78FA"/>
    <w:rsid w:val="003D6AB3"/>
    <w:rsid w:val="003F1965"/>
    <w:rsid w:val="0040549B"/>
    <w:rsid w:val="0047105F"/>
    <w:rsid w:val="00481203"/>
    <w:rsid w:val="004814D2"/>
    <w:rsid w:val="004A137E"/>
    <w:rsid w:val="004F0EB5"/>
    <w:rsid w:val="00504364"/>
    <w:rsid w:val="005543FA"/>
    <w:rsid w:val="0056097B"/>
    <w:rsid w:val="005830DB"/>
    <w:rsid w:val="005B6FD7"/>
    <w:rsid w:val="005D191A"/>
    <w:rsid w:val="006032B9"/>
    <w:rsid w:val="00604647"/>
    <w:rsid w:val="0063430B"/>
    <w:rsid w:val="00653C90"/>
    <w:rsid w:val="006A0288"/>
    <w:rsid w:val="00700062"/>
    <w:rsid w:val="007161F0"/>
    <w:rsid w:val="007201A0"/>
    <w:rsid w:val="00720972"/>
    <w:rsid w:val="00756564"/>
    <w:rsid w:val="007D5EAF"/>
    <w:rsid w:val="00821BCB"/>
    <w:rsid w:val="0085036B"/>
    <w:rsid w:val="008640E7"/>
    <w:rsid w:val="00867766"/>
    <w:rsid w:val="00892EC7"/>
    <w:rsid w:val="008B3AF4"/>
    <w:rsid w:val="008B51E1"/>
    <w:rsid w:val="008E3AE2"/>
    <w:rsid w:val="009602F9"/>
    <w:rsid w:val="009C23FD"/>
    <w:rsid w:val="009C4C5C"/>
    <w:rsid w:val="009F05CE"/>
    <w:rsid w:val="00A739A3"/>
    <w:rsid w:val="00A771BB"/>
    <w:rsid w:val="00A90361"/>
    <w:rsid w:val="00AC5850"/>
    <w:rsid w:val="00AF4963"/>
    <w:rsid w:val="00B141C7"/>
    <w:rsid w:val="00B24966"/>
    <w:rsid w:val="00B64060"/>
    <w:rsid w:val="00B944B0"/>
    <w:rsid w:val="00BB271B"/>
    <w:rsid w:val="00C1572D"/>
    <w:rsid w:val="00C31083"/>
    <w:rsid w:val="00C634EA"/>
    <w:rsid w:val="00C779A2"/>
    <w:rsid w:val="00CB7419"/>
    <w:rsid w:val="00D90583"/>
    <w:rsid w:val="00DA2A12"/>
    <w:rsid w:val="00DA4708"/>
    <w:rsid w:val="00DA4D3C"/>
    <w:rsid w:val="00DA5BFF"/>
    <w:rsid w:val="00DB1688"/>
    <w:rsid w:val="00DE696C"/>
    <w:rsid w:val="00E12944"/>
    <w:rsid w:val="00E9145A"/>
    <w:rsid w:val="00E92ADC"/>
    <w:rsid w:val="00E96713"/>
    <w:rsid w:val="00EA0E78"/>
    <w:rsid w:val="00EC52B6"/>
    <w:rsid w:val="00ED256C"/>
    <w:rsid w:val="00EE1C59"/>
    <w:rsid w:val="00F12904"/>
    <w:rsid w:val="00F62127"/>
    <w:rsid w:val="00FD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E5295"/>
  <w15:chartTrackingRefBased/>
  <w15:docId w15:val="{B64370CC-B0A9-4936-A960-3A94F8034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0562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D256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256C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7209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72097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9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ft@timmonslawfir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Timmons</dc:creator>
  <cp:keywords/>
  <dc:description/>
  <cp:lastModifiedBy>Patrick Timmons</cp:lastModifiedBy>
  <cp:revision>9</cp:revision>
  <cp:lastPrinted>2022-04-14T23:31:00Z</cp:lastPrinted>
  <dcterms:created xsi:type="dcterms:W3CDTF">2022-04-13T21:27:00Z</dcterms:created>
  <dcterms:modified xsi:type="dcterms:W3CDTF">2022-04-15T15:35:00Z</dcterms:modified>
</cp:coreProperties>
</file>